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837" w:rsidRPr="008B3272" w:rsidRDefault="006C7D33" w:rsidP="00053C2B">
      <w:pPr>
        <w:pStyle w:val="ConsPlusNormal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0" allowOverlap="1" wp14:anchorId="16504C26" wp14:editId="218603D5">
            <wp:simplePos x="0" y="0"/>
            <wp:positionH relativeFrom="page">
              <wp:posOffset>-95250</wp:posOffset>
            </wp:positionH>
            <wp:positionV relativeFrom="page">
              <wp:posOffset>171450</wp:posOffset>
            </wp:positionV>
            <wp:extent cx="10680700" cy="755650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Pr="008B3272" w:rsidRDefault="00B67837" w:rsidP="00053C2B">
      <w:pPr>
        <w:pStyle w:val="ConsPlusNormal"/>
        <w:outlineLvl w:val="0"/>
        <w:rPr>
          <w:sz w:val="24"/>
          <w:szCs w:val="24"/>
        </w:rPr>
      </w:pPr>
    </w:p>
    <w:p w:rsidR="00B67837" w:rsidRDefault="00B67837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 wp14:anchorId="707BA97E" wp14:editId="53223D02">
            <wp:simplePos x="0" y="0"/>
            <wp:positionH relativeFrom="page">
              <wp:posOffset>-228600</wp:posOffset>
            </wp:positionH>
            <wp:positionV relativeFrom="page">
              <wp:posOffset>152400</wp:posOffset>
            </wp:positionV>
            <wp:extent cx="10680700" cy="7556500"/>
            <wp:effectExtent l="0" t="0" r="0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0" allowOverlap="1" wp14:anchorId="7C508F8B" wp14:editId="399FC29B">
            <wp:simplePos x="0" y="0"/>
            <wp:positionH relativeFrom="page">
              <wp:posOffset>38100</wp:posOffset>
            </wp:positionH>
            <wp:positionV relativeFrom="page">
              <wp:posOffset>47625</wp:posOffset>
            </wp:positionV>
            <wp:extent cx="10680700" cy="755650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-9525</wp:posOffset>
            </wp:positionH>
            <wp:positionV relativeFrom="page">
              <wp:posOffset>-19050</wp:posOffset>
            </wp:positionV>
            <wp:extent cx="10680700" cy="755650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0602D0F2" wp14:editId="351693D4">
            <wp:simplePos x="0" y="0"/>
            <wp:positionH relativeFrom="page">
              <wp:posOffset>-200025</wp:posOffset>
            </wp:positionH>
            <wp:positionV relativeFrom="page">
              <wp:posOffset>57150</wp:posOffset>
            </wp:positionV>
            <wp:extent cx="10680700" cy="75565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066BF1EE" wp14:editId="762CF13A">
            <wp:simplePos x="0" y="0"/>
            <wp:positionH relativeFrom="page">
              <wp:posOffset>19050</wp:posOffset>
            </wp:positionH>
            <wp:positionV relativeFrom="page">
              <wp:posOffset>76200</wp:posOffset>
            </wp:positionV>
            <wp:extent cx="10680700" cy="7556500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</w:pPr>
    </w:p>
    <w:p w:rsidR="006C7D33" w:rsidRDefault="006C7D33" w:rsidP="00053C2B">
      <w:pPr>
        <w:pStyle w:val="ConsPlusNormal"/>
        <w:outlineLvl w:val="0"/>
        <w:sectPr w:rsidR="006C7D33" w:rsidSect="00B6783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67837" w:rsidRDefault="00B67837" w:rsidP="00053C2B">
      <w:pPr>
        <w:pStyle w:val="ConsPlusNormal"/>
        <w:outlineLvl w:val="0"/>
      </w:pPr>
    </w:p>
    <w:p w:rsidR="00B67837" w:rsidRDefault="00B67837" w:rsidP="00053C2B">
      <w:pPr>
        <w:pStyle w:val="ConsPlusNormal"/>
        <w:outlineLvl w:val="0"/>
      </w:pPr>
    </w:p>
    <w:p w:rsidR="00B67837" w:rsidRDefault="00B67837" w:rsidP="00053C2B">
      <w:pPr>
        <w:pStyle w:val="ConsPlusNormal"/>
        <w:outlineLvl w:val="0"/>
      </w:pPr>
    </w:p>
    <w:p w:rsidR="00B67837" w:rsidRDefault="00B67837" w:rsidP="00053C2B">
      <w:pPr>
        <w:pStyle w:val="ConsPlusNormal"/>
        <w:outlineLvl w:val="0"/>
      </w:pPr>
    </w:p>
    <w:p w:rsidR="00053C2B" w:rsidRDefault="00053C2B" w:rsidP="00BA18BB">
      <w:pPr>
        <w:pStyle w:val="ConsPlusNormal"/>
        <w:jc w:val="both"/>
      </w:pPr>
    </w:p>
    <w:p w:rsidR="00053C2B" w:rsidRDefault="00053C2B" w:rsidP="00053C2B">
      <w:pPr>
        <w:pStyle w:val="ConsPlusNormal"/>
        <w:jc w:val="right"/>
        <w:outlineLvl w:val="0"/>
      </w:pPr>
      <w:r>
        <w:t>Приложение</w:t>
      </w:r>
    </w:p>
    <w:p w:rsidR="00053C2B" w:rsidRDefault="00053C2B" w:rsidP="00053C2B">
      <w:pPr>
        <w:pStyle w:val="ConsPlusNormal"/>
        <w:jc w:val="right"/>
      </w:pPr>
    </w:p>
    <w:p w:rsidR="00053C2B" w:rsidRDefault="00053C2B" w:rsidP="00053C2B">
      <w:pPr>
        <w:pStyle w:val="ConsPlusNormal"/>
        <w:jc w:val="right"/>
      </w:pPr>
      <w:r>
        <w:t>Утверждены</w:t>
      </w:r>
    </w:p>
    <w:p w:rsidR="00053C2B" w:rsidRDefault="00053C2B" w:rsidP="00053C2B">
      <w:pPr>
        <w:pStyle w:val="ConsPlusNormal"/>
        <w:jc w:val="right"/>
      </w:pPr>
      <w:r>
        <w:t>приказом Министерства образования</w:t>
      </w:r>
    </w:p>
    <w:p w:rsidR="00053C2B" w:rsidRDefault="00053C2B" w:rsidP="00053C2B">
      <w:pPr>
        <w:pStyle w:val="ConsPlusNormal"/>
        <w:jc w:val="right"/>
      </w:pPr>
      <w:r>
        <w:t>и науки Российской Федерации</w:t>
      </w:r>
    </w:p>
    <w:p w:rsidR="00053C2B" w:rsidRDefault="00053C2B" w:rsidP="00053C2B">
      <w:pPr>
        <w:pStyle w:val="ConsPlusNormal"/>
        <w:jc w:val="right"/>
      </w:pPr>
      <w:r>
        <w:t>от 15 января 2014 г. N 14</w:t>
      </w:r>
    </w:p>
    <w:p w:rsidR="00053C2B" w:rsidRPr="000F08C8" w:rsidRDefault="00053C2B" w:rsidP="00053C2B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053C2B" w:rsidRPr="000F08C8" w:rsidRDefault="00BA18BB" w:rsidP="00BA18BB">
      <w:pPr>
        <w:pStyle w:val="ConsPlusTitle"/>
        <w:jc w:val="center"/>
        <w:rPr>
          <w:b w:val="0"/>
          <w:sz w:val="24"/>
          <w:szCs w:val="24"/>
        </w:rPr>
      </w:pPr>
      <w:bookmarkStart w:id="1" w:name="Par30"/>
      <w:bookmarkEnd w:id="1"/>
      <w:r>
        <w:rPr>
          <w:sz w:val="24"/>
          <w:szCs w:val="24"/>
        </w:rPr>
        <w:t>П</w:t>
      </w:r>
      <w:r w:rsidRPr="000F08C8">
        <w:rPr>
          <w:sz w:val="24"/>
          <w:szCs w:val="24"/>
        </w:rPr>
        <w:t xml:space="preserve">оказатели </w:t>
      </w:r>
      <w:hyperlink r:id="rId12" w:tooltip="Федеральный закон от 29.12.2012 N 273-ФЗ (ред. от 13.07.2015) &quot;Об образовании в Российской Федерации&quot; (с изм. и доп., вступ. в силу с 24.07.2015){КонсультантПлюс}" w:history="1">
        <w:r w:rsidRPr="000F08C8">
          <w:rPr>
            <w:rStyle w:val="a7"/>
            <w:color w:val="auto"/>
            <w:sz w:val="24"/>
            <w:szCs w:val="24"/>
            <w:u w:val="none"/>
          </w:rPr>
          <w:t>мониторинга</w:t>
        </w:r>
      </w:hyperlink>
      <w:r w:rsidRPr="000F08C8">
        <w:rPr>
          <w:sz w:val="24"/>
          <w:szCs w:val="24"/>
        </w:rPr>
        <w:t xml:space="preserve"> системы образования</w:t>
      </w:r>
      <w:r>
        <w:rPr>
          <w:sz w:val="24"/>
          <w:szCs w:val="24"/>
        </w:rPr>
        <w:t xml:space="preserve"> муниципального образования </w:t>
      </w:r>
      <w:r w:rsidRPr="00BA18BB">
        <w:rPr>
          <w:rFonts w:ascii="Times New Roman" w:hAnsi="Times New Roman" w:cs="Times New Roman"/>
          <w:sz w:val="28"/>
          <w:szCs w:val="28"/>
        </w:rPr>
        <w:t>«</w:t>
      </w:r>
      <w:r w:rsidR="000F08C8" w:rsidRPr="00BA18BB">
        <w:rPr>
          <w:rFonts w:ascii="Times New Roman" w:hAnsi="Times New Roman" w:cs="Times New Roman"/>
          <w:sz w:val="28"/>
          <w:szCs w:val="28"/>
        </w:rPr>
        <w:t>Смоленск</w:t>
      </w:r>
      <w:r w:rsidRPr="00BA18BB">
        <w:rPr>
          <w:rFonts w:ascii="Times New Roman" w:hAnsi="Times New Roman" w:cs="Times New Roman"/>
          <w:sz w:val="28"/>
          <w:szCs w:val="28"/>
        </w:rPr>
        <w:t>ий район»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области.</w:t>
      </w:r>
    </w:p>
    <w:p w:rsidR="00053C2B" w:rsidRDefault="00053C2B" w:rsidP="00053C2B">
      <w:pPr>
        <w:pStyle w:val="ConsPlusNormal"/>
        <w:jc w:val="center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42"/>
        <w:gridCol w:w="1357"/>
      </w:tblGrid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</w:pPr>
            <w:proofErr w:type="gramStart"/>
            <w:r>
              <w:t>Раздел/подраздел</w:t>
            </w:r>
            <w:proofErr w:type="gramEnd"/>
            <w:r>
              <w:t>/показатель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</w:pPr>
            <w:r>
              <w:t>Единица измерения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1"/>
            </w:pPr>
            <w:r>
              <w:t>I. Общее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1. Сведения о развитии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1.1. Уровень доступности дошкольного образования и численность населения, получающего дошкольное образование: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1.1.1. </w:t>
            </w:r>
            <w:proofErr w:type="gramStart"/>
            <w:r>
              <w:t>Доступность дошкольного образования (отношение численности детей в возрасте от 3 до 7 лет, получивших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образования).</w:t>
            </w:r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96%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1.1.2. Охват детей дошкольными образовательными организациями (отношение численности детей, посещающих дошкольные образовательные организации, к численности детей в возрасте от 2 месяцев до 7 лет включительно, скорректированной на численность детей соответствующих возрастов, обучающихся в общеобразовательных организациях).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74%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1.1.3. 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1.2.1. Удельный вес численности детей, обучающихся в группах кратковременного пребывания,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1.3.1. Численность воспитанников организаций дошкольного образования в расчете на 1 педагогического работника.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10,3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1.3.2.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93%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1.4. Материально-техническое и информационное обеспечение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1.4.1. Площадь помещений, используемых непосредственно для нужд дошкольных </w:t>
            </w:r>
            <w:r>
              <w:lastRenderedPageBreak/>
              <w:t>образовательных организаций, в расчете на одного воспитанника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lastRenderedPageBreak/>
              <w:t>9,8кв</w:t>
            </w:r>
            <w:proofErr w:type="gramStart"/>
            <w:r>
              <w:t>.м</w:t>
            </w:r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1.4.2. Удельный вес числа организаций, имеющих водоснабжение, центральное отопление, канализацию, в общем числе дошкольных 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водоснабжение;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 w:rsidP="00194B26">
            <w:pPr>
              <w:pStyle w:val="ConsPlusNormal"/>
              <w:spacing w:line="256" w:lineRule="auto"/>
            </w:pPr>
            <w:r w:rsidRPr="00BC0FEE"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1.4.4. Удельный вес числа организаций, имеющих закрытые плавательные бассейны,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1.4.5. Число персональных компьютеров, доступных для использования детьми, в расчете на 100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1.5.1. Удельный вес численности детей с ограниченными возможностями здоровья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1.5.2. Удельный вес численности детей-инвалидов в общей численности воспитанников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1.5.3. 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детей-инвалидов), по видам групп: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компенсирующей направленности, в том числе для воспитанников: </w:t>
            </w:r>
            <w:hyperlink r:id="rId1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слуха: глухие, слабослышащие, позднооглохшие; </w:t>
            </w:r>
            <w:hyperlink r:id="rId1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тяжелыми нарушениями речи; </w:t>
            </w:r>
            <w:hyperlink r:id="rId1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зрения: слепые, слабовидящие; </w:t>
            </w:r>
            <w:hyperlink r:id="rId1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умственной отсталостью (интеллектуальными нарушениями); </w:t>
            </w:r>
            <w:hyperlink r:id="rId17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задержкой психического развития; </w:t>
            </w:r>
            <w:hyperlink r:id="rId1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опорно-двигательного аппарата; </w:t>
            </w:r>
            <w:hyperlink r:id="rId1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расстройствами аутистического спектра; </w:t>
            </w:r>
            <w:hyperlink r:id="rId2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со сложными дефектами (множественными нарушениями); </w:t>
            </w:r>
            <w:hyperlink r:id="rId2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другими ограниченными возможностями здоровья. </w:t>
            </w:r>
            <w:hyperlink r:id="rId2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оздоровительной направленности, в том числе для воспитанников: </w:t>
            </w:r>
            <w:hyperlink r:id="rId2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туберкулезной интоксикацией; </w:t>
            </w:r>
            <w:hyperlink r:id="rId2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часто болеющих; </w:t>
            </w:r>
            <w:hyperlink r:id="rId2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  <w:hyperlink r:id="rId2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комбинированной направленности. </w:t>
            </w:r>
            <w:hyperlink r:id="rId27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 xml:space="preserve">(п. 1.5.3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28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компенсирующей направленности, в том числе для воспитанников: </w:t>
            </w:r>
            <w:hyperlink r:id="rId2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 w:firstLine="284"/>
              <w:jc w:val="both"/>
            </w:pPr>
            <w:r>
              <w:t xml:space="preserve">с нарушениями слуха: глухие, слабослышащие, позднооглохшие; </w:t>
            </w:r>
            <w:hyperlink r:id="rId3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 w:firstLine="284"/>
              <w:jc w:val="both"/>
            </w:pPr>
            <w:r>
              <w:t xml:space="preserve">с тяжелыми нарушениями речи; </w:t>
            </w:r>
            <w:hyperlink r:id="rId3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 w:firstLine="284"/>
              <w:jc w:val="both"/>
            </w:pPr>
            <w:r>
              <w:t xml:space="preserve">с нарушениями зрения: слепые, слабовидящие; </w:t>
            </w:r>
            <w:hyperlink r:id="rId3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умственной отсталостью (интеллектуальными нарушениями); </w:t>
            </w:r>
            <w:hyperlink r:id="rId3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задержкой психического развития; </w:t>
            </w:r>
            <w:hyperlink r:id="rId3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опорно-двигательного аппарата; </w:t>
            </w:r>
            <w:hyperlink r:id="rId3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расстройствами аутистического спектра; </w:t>
            </w:r>
            <w:hyperlink r:id="rId3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со сложными дефектами (множественными нарушениями); </w:t>
            </w:r>
            <w:hyperlink r:id="rId37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другими ограниченными возможностями здоровья. </w:t>
            </w:r>
            <w:hyperlink r:id="rId3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оздоровительной направленности, в том числе для воспитанников: </w:t>
            </w:r>
            <w:hyperlink r:id="rId3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туберкулезной интоксикацией; </w:t>
            </w:r>
            <w:hyperlink r:id="rId4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часто болеющих; </w:t>
            </w:r>
            <w:hyperlink r:id="rId4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других категорий, нуждающихся в длительном лечении и проведении специальных лечебно-оздоровительных мероприятий. </w:t>
            </w:r>
            <w:hyperlink r:id="rId4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4"/>
              <w:jc w:val="both"/>
            </w:pPr>
            <w:r>
              <w:t xml:space="preserve">группы комбинированной направленности. </w:t>
            </w:r>
            <w:hyperlink r:id="rId4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194B26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1.5.4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4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1.5.5. Удельный вес числа организаций, имеющих в своем составе </w:t>
            </w:r>
            <w:proofErr w:type="spellStart"/>
            <w:r>
              <w:t>лекотеку</w:t>
            </w:r>
            <w:proofErr w:type="spellEnd"/>
            <w:r>
              <w:t xml:space="preserve">, службу ранней помощи, консультативный пункт, в общем числе дошкольных образовательных организаций. </w:t>
            </w:r>
            <w:hyperlink r:id="rId4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1.5.5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6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1.6.1. Пропущено дней по болезни одним ребенком в дошкольной образовательной организации в год.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7,2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1.7.1. Темп роста числа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 w:rsidRPr="00B97BD7"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1.8.1. Общий объем финансовых средств, поступивших в дошкольные образовательные организации, в расчете на одного воспитанника.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57,1т</w:t>
            </w:r>
            <w:proofErr w:type="gramStart"/>
            <w:r>
              <w:t>.р</w:t>
            </w:r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1.8.2. Удельный вес финансовых средств от приносящей доход деятельности в общем объеме финансовых средств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18%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1.9.1. Удельный вес числа организаций, здания которых находятся в аварийном состоянии,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1.9.2. Удельный вес числа организаций, здания которых требуют капитального ремонта, в общем числе дошкольных 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2. Сведения о развитии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2.1.1. 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 детей в возрасте 7 - 17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67%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2.1.2. Удельный вес численности учащихся общеобразовательных организаций, обучающихся в соответствии с федеральным государственным образовательным стандартом,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66,7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2.1.3. Оценка родителями учащихся общеобразовательных организаций возможности выбора общеобразовательной организации (оценка удельного веса численности родителей учащихся, отдавших своих детей в конкретную школу по причине отсутствия других вариантов для выбора, в общей численности родителей учащихся общеобразовательных организаций). </w:t>
            </w:r>
            <w:hyperlink r:id="rId4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2.2.1. Удельный вес численности лиц, занимающихся во вторую или третью смены,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1,6%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2.2.2. Удельный вес численности лиц, углубленно изучающих отдельные предметы, в общей численности учащихся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2.3.1. Численность учащихся в общеобразовательных организациях в расчете на 1 педагогического работника.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7 чел.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2.3.2. Удельный вес численности учителей в возрасте до 35 лет в общей численности учителей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20,9%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заработной плате в субъекте Российской Федерации: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педагогических работников - 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Pr="00BC0FEE" w:rsidRDefault="00B97BD7">
            <w:pPr>
              <w:pStyle w:val="ConsPlusNormal"/>
              <w:spacing w:line="256" w:lineRule="auto"/>
            </w:pPr>
            <w:r w:rsidRPr="00BC0FEE">
              <w:t>89,7%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из них учителей.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Pr="00BC0FEE" w:rsidRDefault="00B97BD7">
            <w:pPr>
              <w:pStyle w:val="ConsPlusNormal"/>
              <w:spacing w:line="256" w:lineRule="auto"/>
            </w:pPr>
            <w:r w:rsidRPr="00BC0FEE">
              <w:t>92%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2.4.1. Общая площадь всех помещений общеобразовательных организаций в расчете на одного учащегося.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 xml:space="preserve">25,5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2.4.2. Удельный вес числа организаций, имеющих водопровод, центральное отопление, канализацию, в общем числе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водопровод;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2.4.3. Число персональных компьютеров, используемых в учебных целях, в расчете на 100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6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2.4.4. Удельный вес числа общеобразовательных организаций, имеющих скорость подключения к сети Интернет от 1 Мбит/</w:t>
            </w:r>
            <w:proofErr w:type="gramStart"/>
            <w:r>
              <w:t>с</w:t>
            </w:r>
            <w:proofErr w:type="gramEnd"/>
            <w:r>
              <w:t xml:space="preserve"> и выше, </w:t>
            </w:r>
            <w:proofErr w:type="gramStart"/>
            <w:r>
              <w:t>в</w:t>
            </w:r>
            <w:proofErr w:type="gramEnd"/>
            <w:r>
              <w:t xml:space="preserve"> общем числе общеобразовательных организаций, подключенных к сети Интернет.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2.5.1. Удельный вес численности детей с ограниченными возможностями здоровья, обучающихся в классах, не являющихся специальными (коррекционными), общеобразовательных организаций, в общей численности детей с ограниченными возможностями здоровья, обучающихся в общеобразовательных организациях.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2.5.2. Удельный вес численности детей-инвалидов, обучающихся в классах, не являющихся специальными (коррекционными), общеобразовательных организаций, в общей численности детей-инвалидов, обучающихся в общеобразовательных организациях.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48%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2.5.3. Структура численности лиц с ограниченными возможностями здоровья,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>
              <w:t>обучение</w:t>
            </w:r>
            <w:proofErr w:type="gramEnd"/>
            <w:r>
              <w:t xml:space="preserve"> по адаптированным основным общеобразовательным программам (за исключением детей-инвалидов):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слуха: глухие, слабослышащие, позднооглохшие; </w:t>
            </w:r>
            <w:hyperlink r:id="rId4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тяжелыми нарушениями речи; </w:t>
            </w:r>
            <w:hyperlink r:id="rId4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зрения: слепые, слабовидящие; </w:t>
            </w:r>
            <w:hyperlink r:id="rId5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умственной отсталостью (интеллектуальными нарушениями); </w:t>
            </w:r>
            <w:hyperlink r:id="rId5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задержкой психического развития; </w:t>
            </w:r>
            <w:hyperlink r:id="rId5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опорно-двигательного аппарата; </w:t>
            </w:r>
            <w:hyperlink r:id="rId5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расстройствами аутистического спектра; </w:t>
            </w:r>
            <w:hyperlink r:id="rId5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со сложными дефектами (множественными нарушениями); </w:t>
            </w:r>
            <w:hyperlink r:id="rId5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другими ограниченными возможностями здоровья. </w:t>
            </w:r>
            <w:hyperlink r:id="rId5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2.5.3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57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2.5.4. Структура численности лиц с инвалидностью, обучающихся в отдельных классах общеобразовательных организаций и в отдельных общеобразовательных организациях, осуществляющих </w:t>
            </w:r>
            <w:proofErr w:type="gramStart"/>
            <w:r>
              <w:t>обучение</w:t>
            </w:r>
            <w:proofErr w:type="gramEnd"/>
            <w:r>
              <w:t xml:space="preserve"> по адаптированным основным </w:t>
            </w:r>
            <w:r>
              <w:lastRenderedPageBreak/>
              <w:t>общеобразовательным программам: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lastRenderedPageBreak/>
              <w:t xml:space="preserve">с нарушениями слуха: глухие, слабослышащие, позднооглохшие; </w:t>
            </w:r>
            <w:hyperlink r:id="rId5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тяжелыми нарушениями речи; </w:t>
            </w:r>
            <w:hyperlink r:id="rId5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зрения: слепые, слабовидящие; </w:t>
            </w:r>
            <w:hyperlink r:id="rId6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умственной отсталостью (интеллектуальными нарушениями); </w:t>
            </w:r>
            <w:hyperlink r:id="rId6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задержкой психического развития; </w:t>
            </w:r>
            <w:hyperlink r:id="rId6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нарушениями опорно-двигательного аппарата; </w:t>
            </w:r>
            <w:hyperlink r:id="rId6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расстройствами аутистического спектра; </w:t>
            </w:r>
            <w:hyperlink r:id="rId6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со сложными дефектами (множественными нарушениями); </w:t>
            </w:r>
            <w:hyperlink r:id="rId6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 другими ограниченными возможностями здоровья. </w:t>
            </w:r>
            <w:hyperlink r:id="rId6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B97BD7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2.5.4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67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>
              <w:t>обучение</w:t>
            </w:r>
            <w:proofErr w:type="gramEnd"/>
            <w:r>
              <w:t xml:space="preserve"> по адаптированным основным общеобразовательным программам педагогическими работниками: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всего; </w:t>
            </w:r>
            <w:hyperlink r:id="rId6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учителя-дефектологи; </w:t>
            </w:r>
            <w:hyperlink r:id="rId6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педагоги-психологи; </w:t>
            </w:r>
            <w:hyperlink r:id="rId7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учителя-логопеды; </w:t>
            </w:r>
            <w:hyperlink r:id="rId7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социальные педагоги; </w:t>
            </w:r>
            <w:hyperlink r:id="rId7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proofErr w:type="spellStart"/>
            <w:r>
              <w:t>тьюторы</w:t>
            </w:r>
            <w:proofErr w:type="spellEnd"/>
            <w:r>
              <w:t xml:space="preserve">. </w:t>
            </w:r>
            <w:hyperlink r:id="rId7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2.5.5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74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2.6. Результаты аттестации лиц, обучающихся по образовательным программам начального общего образования, основного общего образования и среднего общего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2.6.1. Отношение среднего балла единого государственного экзамена (далее - ЕГЭ) (в расчете на 1 предмет) в 10% общеобразовательных организаций с лучшими результатами ЕГЭ к среднему баллу ЕГЭ (в расчете на 1 предмет) в 10% общеобразовательных организаций с худшими результатами ЕГЭ.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Pr="00D25168" w:rsidRDefault="00D25168" w:rsidP="00D25168">
            <w:pPr>
              <w:pStyle w:val="ConsPlusNormal"/>
              <w:spacing w:line="256" w:lineRule="auto"/>
            </w:pPr>
            <w:r w:rsidRPr="00D25168">
              <w:rPr>
                <w:color w:val="FF0000"/>
              </w:rPr>
              <w:t xml:space="preserve"> </w:t>
            </w:r>
            <w:r w:rsidRPr="00D25168">
              <w:t>Рус-1</w:t>
            </w:r>
          </w:p>
          <w:p w:rsidR="00D25168" w:rsidRDefault="00D25168" w:rsidP="00D25168">
            <w:pPr>
              <w:pStyle w:val="ConsPlusNormal"/>
              <w:spacing w:line="256" w:lineRule="auto"/>
            </w:pPr>
            <w:r w:rsidRPr="00D25168">
              <w:t>Мат-1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2.6.2. Среднее значение количества баллов по ЕГЭ, полученных выпускниками, освоившими образовательные программы среднего общего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40,15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60,93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2.6.3. Среднее значение количества баллов по государственной итоговой аттестации (далее - ГИА), полученных выпускниками, освоившими образовательные программы основного общего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3,3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4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2.6.4. Удельный вес численности выпускников, освоивших образовательные </w:t>
            </w:r>
            <w:r>
              <w:lastRenderedPageBreak/>
              <w:t>программы среднего общего образования, получивших количество баллов по ЕГЭ ниже минимального, в общей численности выпускников, освоивших образовательные программы среднего общего образования, сдававших ЕГЭ: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1,79%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2.6.5. Удельный вес численности выпускников, освоивших образовательные программы основного общего образования, получивших количество баллов по ГИА ниже минимального, в общей численности выпускников, освоивших образовательные программы основного общего образования, сдававших ГИА: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математике;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22,7%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по русскому языку.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2,4%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2.7. Состояние здоровья лиц, обучающихся по основным общеобразовательным программам, </w:t>
            </w:r>
            <w:proofErr w:type="spellStart"/>
            <w:r>
              <w:t>здоровьесберегающие</w:t>
            </w:r>
            <w:proofErr w:type="spellEnd"/>
            <w: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2.7.1. Удельный вес лиц, обеспеченных горячим питанием, в общей численности обучающихся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80%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2.7.2. Удельный вес числа организаций, имеющих логопедический пункт или логопедический кабинет,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12%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2.7.3. Удельный вес числа организаций, имеющих физкультурные залы,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 w:rsidRPr="00BC0FEE"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2.7.4. Удельный вес числа организаций, имеющих плавательные бассейны,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2.8.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2.8.1. Темп роста числа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2.9. Финансово-экономическая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2.9.1. Общий объем финансовых средств, поступивших в общеобразовательные организации, в расчете на одного учащегося.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67т</w:t>
            </w:r>
            <w:proofErr w:type="gramStart"/>
            <w:r>
              <w:t>.р</w:t>
            </w:r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2.9.2. Удельный вес финансовых средств от приносящей доход деятельности в общем объеме финансовых средств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2.10.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2.10.1. Удельный вес числа организаций, имеющих пожарные краны и рукава,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2.10.2. Удельный вес числа организаций, имеющих дымовые </w:t>
            </w:r>
            <w:proofErr w:type="spellStart"/>
            <w:r>
              <w:t>извещатели</w:t>
            </w:r>
            <w:proofErr w:type="spellEnd"/>
            <w:r>
              <w:t>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2.10.3. Удельный вес числа организаций, имеющих "тревожную кнопку",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45,8%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2.10.4. Удельный вес числа организаций, имеющих охрану, в общем числе </w:t>
            </w:r>
            <w:r>
              <w:lastRenderedPageBreak/>
              <w:t>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lastRenderedPageBreak/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2.10.5. Удельный вес числа организаций, имеющих систему видеонаблюдения,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C0FEE">
            <w:pPr>
              <w:pStyle w:val="ConsPlusNormal"/>
              <w:spacing w:line="256" w:lineRule="auto"/>
            </w:pPr>
            <w:r w:rsidRPr="00BC0FEE">
              <w:t>70%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2.10.6. Удельный вес числа организаций, здания которых находятся в аварийном состоянии,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2.10.7. Удельный вес числа организаций, здания которых требуют капитального ремонта,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1"/>
            </w:pPr>
            <w:r>
              <w:t>II. Профессиональное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3. Сведения о развитии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3.1. Уровень доступности среднего профессионального образования и численность населения, получающего среднее профессиональное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обучающихся по программам подготовки квалифицированных рабочих, служащих к численности населения в возрасте 15 - 17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обучающихся по программам подготовки специалистов среднего звена к численности населения в возрасте 15 - 19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3.2.1. Удельный вес численности лиц, освоивших образовательные программы среднего профессионального образования - программы подготовки специалистов среднего звена с использованием дистанционных образовательных технологий, электронного обучения, в общей численности выпускников, получивших среднее профессиональное образование по программам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на базе основного общего образования;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на базе среднего общего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на базе основного общего образования;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на базе среднего общего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3.2.4. Удельный вес численности студентов очной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</w:t>
            </w:r>
            <w:r>
              <w:lastRenderedPageBreak/>
              <w:t>рабочих, служащих.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lastRenderedPageBreak/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 по формам обучения (удельный вес численности студентов соответствующей формы обучения,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очная форма обучения;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очно-заочная форма обучения;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заочная форма обучения.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3.2.6. Удельный вес численности лиц, обучающихся на платной основе,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 Кадровое обеспечение профессиональных образовательных организаций и образовательных организаций высшего образования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3.3.1.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преподаватели.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3.3.2. Удельный вес численности лиц, имеющих высшее образование,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преподаватели.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3.3.3.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высшую квалификационную категорию;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первую квалификационную категорию.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3.3.4.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высшую квалификационную категорию;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первую квалификационную категорию.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3.3.5. Численность студентов, обучающихся по образовательным программам среднего профессионального образования, в расчете на 1 работника, замещающего должности преподавателей и (или) мастеров производственного обучения: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3.3.6. Отношение среднемесячной заработной платы преподавателей и мастеров производственного обучения государственных и муниципальных образовательных организаций, реализующих образовательные программы среднего профессионального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3.3.7. Удельный вес штатных преподавателей профессиональных образовательных организаций, желающих сменить работу, в общей численности штатных преподавателей профессиональных 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организации, реализующие исключительно программы подготовки квалифицированных рабочих, служащих; </w:t>
            </w:r>
            <w:hyperlink r:id="rId7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организации, реализующие программы подготовки специалистов среднего звена. </w:t>
            </w:r>
            <w:hyperlink r:id="rId7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3.3.8. Распространенность дополнительной занятости преподавателей профессиональных образовательных организаций (удельный вес штатных преподавателей профессиональных образовательных организаций, имеющих дополнительную работу, в общей численности штатных преподавателей профессиональных образовательных организаций):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организации, реализующие исключительно программы подготовки квалифицированных рабочих, служащих; </w:t>
            </w:r>
            <w:hyperlink r:id="rId7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организации, реализующие программы подготовки специалистов среднего звена. </w:t>
            </w:r>
            <w:hyperlink r:id="rId7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3.4.1. Обеспеченность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3.4.2. Обеспеченность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 сетью общественного питания.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3.4.3.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3.4.4. Число персональных компьютеров, используемых в учебных целях, в расчете на 100 студентов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3.4.5. Удельный вес числа организаций, подключенных к Интернету со скоростью передачи данных 2 Мбит/сек. и выше,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звена, подключенных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3.4.6. Площадь учебно-лабораторных зданий профессиональных образовательных организаций в расчете на одного студента: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организации, реализующие программы среднего профессионального образования - исключительно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квадратный метр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организации, реализующие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квадратный метр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3.5.2. Удельный вес численности студентов с ограниченными возможностями здоровья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подготовки специалистов среднего звена. </w:t>
            </w:r>
            <w:hyperlink r:id="rId79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3.5.3. Удельный вес численности студентов-инвалидов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3.6. Учебные и </w:t>
            </w:r>
            <w:proofErr w:type="spellStart"/>
            <w:r>
              <w:t>внеучебные</w:t>
            </w:r>
            <w:proofErr w:type="spellEnd"/>
            <w:r>
              <w:t xml:space="preserve">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3.6.1. Удельный вес численности студентов очной формы обучения, получающих стипендии, в общей численности студентов очной формы обучения, обучающихся по образовательным программам среднего профессионального образования - программам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3.6.2. Уровень безработицы выпускников, завершивших </w:t>
            </w:r>
            <w:proofErr w:type="gramStart"/>
            <w:r>
              <w:t>обучение по</w:t>
            </w:r>
            <w:proofErr w:type="gramEnd"/>
            <w:r>
              <w:t xml:space="preserve"> образовательным программам среднего профессионального образования в течение трех лет, предшествовавших отчетному периоду: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подготовки квалифицированных рабочих, служащих; </w:t>
            </w:r>
            <w:hyperlink r:id="rId80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подготовки специалистов среднего звена. </w:t>
            </w:r>
            <w:hyperlink r:id="rId8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3.7. Изменение сети организаций, осуществляющих образовательную деятельность по </w:t>
            </w:r>
            <w:r>
              <w:lastRenderedPageBreak/>
              <w:t>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3.7.1. Темп роста числа образовательных организаций, реализующих: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организации; </w:t>
            </w:r>
            <w:hyperlink r:id="rId8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организации высшего образования, имеющие в своем составе структурные подразделения, реализующие программы подготовки квалифицированных рабочих, служащих. </w:t>
            </w:r>
            <w:hyperlink r:id="rId8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организации; </w:t>
            </w:r>
            <w:hyperlink r:id="rId8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организации высшего образования, имеющие в своем составе структурные подразделения, реализующие программы подготовки специалистов среднего звена. </w:t>
            </w:r>
            <w:hyperlink r:id="rId8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3.8. Финансово-экономическая деятельность профессиональных образовательных организаций и образовательных организаций высшего образования в части обеспечения реализации образовательных программ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3.8.1.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квалифицированных рабочих, служащих: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организации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3.8.2. Удельный вес финансовых средств от приносящей доход деятельности в общем объеме финансовых средств, полученных образовательными организациями от реализации образовательных программ среднего профессионального образования - программ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организации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3.8.3. Объем финансовых средств, поступивших в профессиональные образовательные организации, в расчете на 1 студента: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организации, реализующие образовательные программы среднего профессионального образования - исключительно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рублей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профессиональные образовательные организации, реализующие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рублей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3.9. Структура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3.9.1. Удельный вес числа организаций, имеющих филиалы, реализующие образовательные программы среднего профессионального образования - программы подготовки специалистов среднего звена, в общем числе профессиональных образовательных организаций, реализующих образовательные программы среднего </w:t>
            </w:r>
            <w:r>
              <w:lastRenderedPageBreak/>
              <w:t>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lastRenderedPageBreak/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3.10.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3.10.1. Удельный вес площади зданий, оборудованной охранно-пожарной сигнализацией, в общей площади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учебно-лабораторные здания;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общежития.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3.10.2. Удельный вес числа организаций, здания которых требуют капитального ремонта,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3.10.3. Удельный вес числа организаций, здания которых находятся в аварийном состоянии, в общем числе профессиональных образовательных организаций, реализующих образовательные программы среднего профессионального образования - исключительно программы подготовки квалифицированных рабочих, служащих.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3.10.4. Удельный вес площади учебно-лабораторных зданий, находящейся в аварийном состоянии,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3.10.5. Удельный вес площади учебно-лабораторных зданий, требующей капитального ремонта, в общей площади учебно-лабораторных зданий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3.10.6. Удельный вес площади общежитий, находящейся в аварийном состоянии,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3.10.7. Удельный вес площади общежитий, требующей капитального ремонта, в общей площади общежитий профессиональных образовательных организаций, реализующих образовательные программы среднего профессионального образования - программы подготовки специалистов среднего звена.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 xml:space="preserve">4. Сведения о развитии высшего образования </w:t>
            </w:r>
            <w:hyperlink r:id="rId86" w:anchor="Par974" w:tooltip="&lt;***&gt; По разделу также осуществляется сбор данных в соответствии с показателями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" w:history="1">
              <w:r>
                <w:rPr>
                  <w:rStyle w:val="a7"/>
                  <w:color w:val="0000FF"/>
                  <w:u w:val="none"/>
                </w:rPr>
                <w:t>&lt;***&gt;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4.1. Уровень доступности высшего образования и численность населения, получающего высшее образование: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4.1.1. Охват молодежи образовательными программами высшего образования (отношение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магистратуры, к численности населения в возрасте 17 - 25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4.1.2. Удельный вес численности студентов, обучающихся в ведущих классических университетах Российской Федерации, федеральных университетах и национальных исследовательских университетах,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4.2. Содержание образовательной деятельности и организация образовательного процесса по образовательным программам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4.2.1. Структура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 xml:space="preserve">, программам магистратуры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очная форма обучения;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очно-заочная форма обучения;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заочная форма обучения.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4.2.2. Удельный вес численности лиц, обучающихся на платной основе,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4.2.3. Удельный вес численности лиц, обучающихся с применением дистанционных образовательных технологий, электронного обучения, в общей численности студентов, обучающихся по образовательным программам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</w:t>
            </w:r>
            <w:proofErr w:type="spellStart"/>
            <w:r>
              <w:t>бакалавриата</w:t>
            </w:r>
            <w:proofErr w:type="spellEnd"/>
            <w: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</w:t>
            </w:r>
            <w:proofErr w:type="spellStart"/>
            <w:r>
              <w:t>специалитета</w:t>
            </w:r>
            <w:proofErr w:type="spellEnd"/>
            <w: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программы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4.3. Кадровое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образовательных программ высшего образования, а также оценка уровня заработной платы педагогических работников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4.3.1. 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доктора наук;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кандидата наук.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4.3.2. Удельный вес численности лиц в возрасте до 30 лет,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4.3.3. Соотношение численности штатного профессорско-преподавательского состава и профессорско-преподавательского состава, работающего на условиях внешнего совместительства, организаций, осуществляющих образовательную деятельность по реализации образовательных программ высшего образования (на 100 работников штатного состава приходится внешних совместителей).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4.3.4. Численность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магистратуры, в расчете на одного работника профессорско-преподавательского состава.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4.3.5. Отношение среднемесячной заработной платы профессорско-</w:t>
            </w:r>
            <w:r>
              <w:lastRenderedPageBreak/>
              <w:t>преподавательского состава государственных и муниципальных образовательных организаций высшего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lastRenderedPageBreak/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 xml:space="preserve">4.3.6. Удельный вес штатных преподавателей образовательных организаций высшего образования, желающих сменить работу, в общей численности штатных преподавателей образовательных организаций высшего образования. </w:t>
            </w:r>
            <w:hyperlink r:id="rId8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4.3.7. Распространенность дополнительной занятости преподавателей образовательных организаций высшего образования (удельный вес штатных преподавателей образовательных организаций высшего образования, имеющих дополнительную работу, в общей численности штатных преподавателей образовательных организаций высшего образования). </w:t>
            </w:r>
            <w:hyperlink r:id="rId8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 Материально-техническое и информационное обеспечение образовательных организаций высшего образования и иных организаций,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4.4.1. Обеспеченность студентов образовательных организаций высшего образования общежитиями (удельный вес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4.4.2. Обеспеченность студентов образовательных организаций высшего образования сетью общественного питания.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4.4.3. Число персональных компьютеров, используемых в учебных целях, в расчете на 100 студентов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4.4.4. Удельный вес числа организаций, подключенных к Интернету со скоростью передачи данных 2 Мбит/сек. и выше, в общем числе образовательных организаций высшего образования, подключенных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4.4.5. Площадь учебно-лабораторных зданий образовательных организаций высшего образования в расчете на одного студента.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квадратный метр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4.5. Условия получения высшего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4.5.1. Удельный вес числа организаций, обеспечивающих доступность обучения и проживания лиц с ограниченными возможностями здоровья и инвалидов, в общем числе образовательных организаций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4.5.2. Удельный вес численности студентов-инвалидов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4.6. Учебные и </w:t>
            </w:r>
            <w:proofErr w:type="spellStart"/>
            <w:r>
              <w:t>внеучебные</w:t>
            </w:r>
            <w:proofErr w:type="spellEnd"/>
            <w:r>
              <w:t xml:space="preserve"> достижения обучающихся лиц и профессиональные достижения выпускников организаций, реализующих программы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4.6.1. Удельный вес численности студентов очной формы обучения, получающих стипендии, в общей численности студентов очной формы обучения,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4.6.2. Уровень безработицы выпускников, завершивших </w:t>
            </w:r>
            <w:proofErr w:type="gramStart"/>
            <w:r>
              <w:t>обучение по</w:t>
            </w:r>
            <w:proofErr w:type="gramEnd"/>
            <w:r>
              <w:t xml:space="preserve">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 xml:space="preserve">, программам магистратуры в течение трех лет, предшествовавших отчетному периоду. </w:t>
            </w:r>
            <w:hyperlink r:id="rId8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4.7. Финансово-экономическая деятельность образовательных организаций высшего образования в части обеспечения реализации образовательных программ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4.7.1. Удельный вес финансовых средств от приносящей доход деятельности в общем объеме финансовых средств, полученных образовательными организациями высшего образования от реализации образовательных программ высшего образования - программ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 </w:t>
            </w:r>
            <w:proofErr w:type="spellStart"/>
            <w:r>
              <w:t>специалитета</w:t>
            </w:r>
            <w:proofErr w:type="spellEnd"/>
            <w:r>
              <w:t>, программ магистратуры.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4.7.2. Объем финансовых средств, поступивших в образовательные организации высшего образования, в расчете на одного студента.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рублей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4.8. Структура образовательных организаций высшего образования, реализующих образовательные программы высшего образования (в том числе характеристика филиалов)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4.8.1. Удельный вес числа организаций, имеющих филиалы, реализующие образовательные программы высшего образования - программы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программы </w:t>
            </w:r>
            <w:proofErr w:type="spellStart"/>
            <w:r>
              <w:t>специалитета</w:t>
            </w:r>
            <w:proofErr w:type="spellEnd"/>
            <w:r>
              <w:t>, программы магистратуры, в общем числе образовательных организаций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4.9. Научная и творческая деятельность образовательных организаций высшего образования, а также иных организаций, осуществляющих образовательную деятельность, связанная с реализацией образовательных программ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4.9.1. Удельный вес финансовых средств, полученных от научной деятельности, в общем объеме финансовых средств образовательных организаций высшего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4.9.2. Объем финансовых средств, полученных от научной деятельности, в расчете на 1 научно-педагогического работника.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рублей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4.9.3. Распространенность участия в исследованиях и разработках преподавателей организаций высшего образования (оценка удельного веса штатных преподавателей, занимающихся научной работой, в общей численности штатных преподавателей образовательных организаций высшего образования). </w:t>
            </w:r>
            <w:hyperlink r:id="rId90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4.9.4. </w:t>
            </w:r>
            <w:proofErr w:type="gramStart"/>
            <w:r>
              <w:t xml:space="preserve">Распространенность участия в научной работе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 и программам </w:t>
            </w:r>
            <w:proofErr w:type="spellStart"/>
            <w:r>
              <w:t>специалитета</w:t>
            </w:r>
            <w:proofErr w:type="spellEnd"/>
            <w:r>
              <w:t xml:space="preserve"> на 4 курсе и старше, по программам магистратуры (оценка удельного веса лиц, занимающихся научной работой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 и программам </w:t>
            </w:r>
            <w:proofErr w:type="spellStart"/>
            <w:r>
              <w:t>специалитета</w:t>
            </w:r>
            <w:proofErr w:type="spellEnd"/>
            <w:r>
              <w:t xml:space="preserve"> на 4 курсе и старше, по программам магистратуры). </w:t>
            </w:r>
            <w:hyperlink r:id="rId9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4.10.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высшего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4.10.1. Удельный вес площади зданий, оборудованной охранно-пожарной сигнализацией,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учебно-лабораторные здания;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общежития.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4.10.2. Удельный вес площади зданий, находящейся в аварийном состоянии,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учебно-лабораторные здания;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общежития.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4.10.3. Удельный вес площади зданий, требующей капитального ремонта, в общей площади зданий образовательных организаций высшего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учебно-лабораторные здания;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общежития.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1"/>
            </w:pPr>
            <w:r>
              <w:t>III. Дополнительное образование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5. Сведения о развитии дополнительного образования детей и взрослых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5.1.1. Охват детей в возрасте 5 - 18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5 - 18 лет).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D25168">
            <w:pPr>
              <w:pStyle w:val="ConsPlusNormal"/>
              <w:spacing w:line="256" w:lineRule="auto"/>
            </w:pPr>
            <w:r>
              <w:t>67%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5.2.1. Структура численности обучающихся в организациях дополнительного образования по видам образовательной деятельности (удельный вес численности детей, обучающихся в организациях, реализующих дополнительные общеобразовательные программы различных видов, в общей численности детей, обучающихся в организациях, реализующих дополнительные общеобразовательные программы).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66,2%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5.2.2. Удельный вес численности детей с ограниченными возможностями здоровья в общей </w:t>
            </w:r>
            <w:proofErr w:type="gramStart"/>
            <w:r>
              <w:t>численности</w:t>
            </w:r>
            <w:proofErr w:type="gramEnd"/>
            <w:r>
              <w:t xml:space="preserve"> обучающихся в организациях, осуществляющих образовательную деятельность по дополнительным общеобразовательным программам (за исключением детей-инвалидов). </w:t>
            </w:r>
            <w:hyperlink r:id="rId9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5.2.2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93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5.2.3. Удельный вес численности детей-инвалидов в общей </w:t>
            </w:r>
            <w:proofErr w:type="gramStart"/>
            <w:r>
              <w:t>численности</w:t>
            </w:r>
            <w:proofErr w:type="gramEnd"/>
            <w:r>
              <w:t xml:space="preserve"> обучающихся в организациях, осуществляющих образовательную деятельность по дополнительным общеобразовательным программам. </w:t>
            </w:r>
            <w:hyperlink r:id="rId9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96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(п. 5.2.3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95" w:tooltip="Приказ Минобрнауки России от 02.03.2015 N 135 &quot;О внесении изменений в показатели мониторинга системы образования, утвержденные приказом Министерства образования и науки Российской Федерации от 15 января 2014 г. N 14&quot; (Зарегистрировано в Минюсте России 20." w:history="1">
              <w:r>
                <w:rPr>
                  <w:rStyle w:val="a7"/>
                  <w:color w:val="0000FF"/>
                  <w:u w:val="none"/>
                </w:rPr>
                <w:t>Приказом</w:t>
              </w:r>
            </w:hyperlink>
            <w:r>
              <w:t xml:space="preserve">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02.03.2015 N 135)</w:t>
            </w:r>
          </w:p>
        </w:tc>
      </w:tr>
      <w:tr w:rsidR="00053C2B" w:rsidTr="00BA18BB">
        <w:trPr>
          <w:trHeight w:val="708"/>
        </w:trPr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5.3.1. Отношение среднемесячной заработной платы педагогических работников государственных и муниципальных образовательных организаций дополнительного образования к среднемесячной заработной плате в субъекте Российской Федерации.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BA18BB">
            <w:pPr>
              <w:pStyle w:val="ConsPlusNormal"/>
              <w:spacing w:line="256" w:lineRule="auto"/>
            </w:pPr>
            <w:r w:rsidRPr="00BA18BB">
              <w:t>63,8%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5.4. Материально-техническое и информационное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5.4.1. Общая площадь всех помещений организаций дополнительного образования в расчете на одного обучающегося.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18,5кв</w:t>
            </w:r>
            <w:proofErr w:type="gramStart"/>
            <w:r>
              <w:t>.м</w:t>
            </w:r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5.4.2. Удельный вес числа организаций, имеющих водопровод, центральное отопление, канализацию, в общем числе образовательных организаций дополнительного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водопровод: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центральное отопление;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канализацию.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5.4.3. Число персональных компьютеров, используемых в учебных целях, в расчете на 100 обучающихся организаций дополнительного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9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Pr="00BC0FEE" w:rsidRDefault="00E646F4">
            <w:pPr>
              <w:pStyle w:val="ConsPlusNormal"/>
              <w:spacing w:line="256" w:lineRule="auto"/>
            </w:pPr>
            <w:r w:rsidRPr="00BC0FEE">
              <w:t>9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5.5. Изменение сети организаций, осуществляющих образовательную деятельность по дополнительным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5.5.1. Темп роста числа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5.6. Финансово-экономическая деятельность организаций, осуществляющих образовательную деятельность в части обеспечения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5.6.1. Общий объем финансовых средств, поступивших в образовательные организации дополнительного образования, в расчете на одного обучающегося.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22т</w:t>
            </w:r>
            <w:proofErr w:type="gramStart"/>
            <w:r>
              <w:t>.р</w:t>
            </w:r>
            <w:proofErr w:type="gramEnd"/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5.6.2. Удельный вес финансовых средств от приносящей доход деятельности в общем объеме финансовых средств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5.7. Структура организаций, осуществляющих образовательную деятельность, реализующих дополнительные общеобразовательные программы (в том числе характеристика их филиалов)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5.7.1. Удельный вес числа организаций, имеющих филиалы,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5.8.1. Удельный вес числа организаций, имеющих пожарные краны и рукава,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5.8.2. Удельный вес числа организаций, имеющих дымовые </w:t>
            </w:r>
            <w:proofErr w:type="spellStart"/>
            <w:r>
              <w:t>извещатели</w:t>
            </w:r>
            <w:proofErr w:type="spellEnd"/>
            <w:r>
              <w:t>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100%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5.8.3. Удельный вес числа организаций, здания которых находятся в аварийном состоянии,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 w:rsidRPr="00870560"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5.8.4. Удельный вес числа организаций, здания которых требуют капитального ремонта, в общем числе образовательных организаций дополнительного образования.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5.9. Учебные и </w:t>
            </w:r>
            <w:proofErr w:type="spellStart"/>
            <w:r>
              <w:t>внеучебные</w:t>
            </w:r>
            <w:proofErr w:type="spellEnd"/>
            <w:r>
              <w:t xml:space="preserve"> достижения лиц, обучающихся по программам дополнительного образования детей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5.9.1. Результаты занятий детей в организациях дополнительного образования (оценка удельного веса родителей детей, обучающихся в образовательных организациях дополнительного образования, отметивших различные результаты обучения их детей, в общей численности родителей детей, обучающихся в образовательных организациях дополнительного образования):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приобретение актуальных знаний, умений, практических навыков </w:t>
            </w:r>
            <w:proofErr w:type="gramStart"/>
            <w:r>
              <w:t>обучающимися</w:t>
            </w:r>
            <w:proofErr w:type="gramEnd"/>
            <w:r>
              <w:t xml:space="preserve">; </w:t>
            </w:r>
            <w:hyperlink r:id="rId9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80%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 xml:space="preserve">выявление и развитие таланта и способностей обучающихся; </w:t>
            </w:r>
            <w:hyperlink r:id="rId9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60%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>
              <w:t>обучающимися</w:t>
            </w:r>
            <w:proofErr w:type="gramEnd"/>
            <w:r>
              <w:t xml:space="preserve">; </w:t>
            </w:r>
            <w:hyperlink r:id="rId9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 w:rsidRPr="00870560"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улучшение знаний в рамках школьной программы </w:t>
            </w:r>
            <w:proofErr w:type="gramStart"/>
            <w:r>
              <w:t>обучающимися</w:t>
            </w:r>
            <w:proofErr w:type="gramEnd"/>
            <w:r>
              <w:t xml:space="preserve">. </w:t>
            </w:r>
            <w:hyperlink r:id="rId9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80%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6. Сведения о развитии дополнительного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6.1. Численность населения, обучающегося по дополнительным профессиональным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6.1.1. Охват населения программами дополнительного профессионального образования (удельный вес численности занятого населения в возрасте 25 - 64 лет, прошедшего повышение квалификации и (или) профессиональную переподготовку, в общей численности занятого в экономике населения данной возрастной группы). </w:t>
            </w:r>
            <w:hyperlink r:id="rId100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6.1.2. </w:t>
            </w:r>
            <w:proofErr w:type="gramStart"/>
            <w:r>
              <w:t xml:space="preserve">Охват занятых в организациях реального сектора экономики программами профессиональной переподготовки, повышения квалификации. </w:t>
            </w:r>
            <w:hyperlink r:id="rId10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6.1.3. Удельный вес численности работников организаций, получивших дополнительное профессиональное образование, в общей численности штатных работников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6.2. Содержание образовательной деятельности и организация образовательного процесса по дополнительным профессиональным программам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6.2.1. Удельный вес численности лиц, получивших дополнительное профессиональное образование с использованием дистанционных образовательных технологий, в общей численности работников организаций, получивших дополнительное профессиональное образование.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6.3. Кадровое обеспечение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6.3.1. Удельный вес численности лиц, имеющих ученую степень, в общей численности профессорско-преподавательского состава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доктора наук; </w:t>
            </w:r>
            <w:hyperlink r:id="rId102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кандидата наук. </w:t>
            </w:r>
            <w:hyperlink r:id="rId103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6.4. Материально-техническое и информационное обеспечение профессиональных организаций,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6.4.1.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 дополнительного профессионального образования. </w:t>
            </w:r>
            <w:hyperlink r:id="rId104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6.4.2. Число персональных компьютеров, используемых в учебных целях, в расчете на 100 слушателей организаций дополнительного профессионального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всего; </w:t>
            </w:r>
            <w:hyperlink r:id="rId10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gramStart"/>
            <w:r>
              <w:t>имеющих</w:t>
            </w:r>
            <w:proofErr w:type="gramEnd"/>
            <w:r>
              <w:t xml:space="preserve"> доступ к Интернету. </w:t>
            </w:r>
            <w:hyperlink r:id="rId10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6.5. Изменение сети организаций, осуществляющих образовательную деятельность по дополнительным профессиональным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6.5.1. Темп роста числа организаций, осуществляющих образовательную деятельность по реализации дополнительных профессиональных программ: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организации дополнительного профессионального образования; </w:t>
            </w:r>
            <w:hyperlink r:id="rId107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организации; </w:t>
            </w:r>
            <w:hyperlink r:id="rId10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организации высшего образования. </w:t>
            </w:r>
            <w:hyperlink r:id="rId10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6.6. Условия освоения дополнительных профессиональных программ лицами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6.6.1. Удельный вес численности лиц с ограниченными возможностями здоровья и инвалидов в общей численности работников организаций, прошедших </w:t>
            </w:r>
            <w:proofErr w:type="gramStart"/>
            <w:r>
              <w:t>обучение</w:t>
            </w:r>
            <w:proofErr w:type="gramEnd"/>
            <w:r>
              <w:t xml:space="preserve"> по дополнительным профессиональным программам. </w:t>
            </w:r>
            <w:hyperlink r:id="rId110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6.7. Научная деятельность организаций, осуществляющих образовательную деятельность, связанная с реализацией дополнительных профессиональных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6.7.1. Удельный вес финансовых средств, полученных от научной деятельности, в общем объеме финансовых средств организаций дополнительного профессионального образования. </w:t>
            </w:r>
            <w:hyperlink r:id="rId111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6.8.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дополнительных профессиональных программ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6.8.1. Удельный вес площади зданий, требующей капитального ремонта, в общей площади зданий организаций дополнительного профессионального образования: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учебно-лабораторные здания; </w:t>
            </w:r>
            <w:hyperlink r:id="rId112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общежития. </w:t>
            </w:r>
            <w:hyperlink r:id="rId113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6.9. Профессиональные достижения выпускников организаций, реализующих программы дополнительного профессионального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6.9.1. Оценка отношения среднемесячной заработной платы лиц, прошедших обучение по дополнительным профессиональным программам в течение последних 3 лет, и лиц, не обучавшихся по дополнительным образовательным программам в течение последних 3 лет</w:t>
            </w:r>
            <w:proofErr w:type="gramStart"/>
            <w:r>
              <w:t xml:space="preserve">. </w:t>
            </w:r>
            <w:hyperlink r:id="rId114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15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(&lt;****&gt;)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1"/>
            </w:pPr>
            <w:r>
              <w:t>IV. Профессиональное обучение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  <w:outlineLvl w:val="2"/>
            </w:pPr>
            <w:r>
              <w:t>7. Сведения о развитии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7.1. Численность населения, обучающегося по программам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7.1.1. Численность лиц, прошедших </w:t>
            </w:r>
            <w:proofErr w:type="gramStart"/>
            <w:r>
              <w:t>обучение по</w:t>
            </w:r>
            <w:proofErr w:type="gramEnd"/>
            <w:r>
              <w:t xml:space="preserve"> образовательным программам профессионального обучения (в профессиональных образовательных организациях, реализующих образовательные программы среднего профессионального образования - программы подготовки квалифицированных рабочих, служащих).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7.1.2. Численность работников организаций, прошедших профессиональное обучение: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профессиональная подготовка по профессиям рабочих, должностям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переподготовка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 xml:space="preserve">тысяча </w:t>
            </w:r>
            <w:r>
              <w:lastRenderedPageBreak/>
              <w:t>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повышение квалификации рабочих, служащих.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тысяча человек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7.1.3. Удельный вес численности работников организаций, прошедших профессиональное обучение, в общей численности штатных работников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7.2. Содержание образовательной деятельности и организация образовательного процесса по основным программам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7.2.1. Удельный вес численности лиц, прошедших </w:t>
            </w:r>
            <w:proofErr w:type="gramStart"/>
            <w:r>
              <w:t>обучение по</w:t>
            </w:r>
            <w:proofErr w:type="gramEnd"/>
            <w:r>
              <w:t xml:space="preserve"> образовательным программам профессионального обучения по месту своей работы, в общей численности работников организаций, прошедших обучение по образовательным программам профессионального обучения.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7.3.1. Удельный вес численности лиц, имеющих высшее образование, в общей численности преподавателей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реализации образовательных программ профессионального обучения. </w:t>
            </w:r>
            <w:hyperlink r:id="rId11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7.4. Материально-техническое и информационное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7.4.1. Удельный вес стоимости дорогостоящих машин и оборудования (стоимостью свыше 1 млн. рублей за единицу) в общей стоимости машин и оборудования организаций, осуществляющих образовательную деятельность по реализации образовательных программ профессионального обучения. </w:t>
            </w:r>
            <w:hyperlink r:id="rId117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7.5. Условия профессионального обучения лиц с ограниченными возможностями здоровья и инвалидами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7.5.1. Удельный вес численности лиц с ограниченными возможностями здоровья и инвалидов в общей численности работников организаций, прошедших </w:t>
            </w:r>
            <w:proofErr w:type="gramStart"/>
            <w:r>
              <w:t>обучение</w:t>
            </w:r>
            <w:proofErr w:type="gramEnd"/>
            <w:r>
              <w:t xml:space="preserve"> по дополнительным профессиональным программам и образовательным программам профессионального обучения.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7.6.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7.6.1. Удельный вес лиц, трудоустроившихся в течение 1 года после окончания </w:t>
            </w:r>
            <w:proofErr w:type="gramStart"/>
            <w:r>
              <w:t>обучения по</w:t>
            </w:r>
            <w:proofErr w:type="gramEnd"/>
            <w:r>
              <w:t xml:space="preserve"> полученной профессии на рабочие места, требующие высокого уровня квалификации, в общей численности лиц, обученных по образовательным программам профессионального обучения. </w:t>
            </w:r>
            <w:hyperlink r:id="rId118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7.7. Изменение сети организаций, осуществляющих образовательную деятельность по основным программам профессионального обучения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7.7.1. Число организаций, осуществляющих образовательную деятельность по образовательным программам профессионального обучения, в том числе: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общеобразовательные организации; </w:t>
            </w:r>
            <w:hyperlink r:id="rId119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профессиональные образовательные организации; </w:t>
            </w:r>
            <w:hyperlink r:id="rId12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образовательные организации высшего образования; </w:t>
            </w:r>
            <w:hyperlink r:id="rId121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организации дополнительного образования; </w:t>
            </w:r>
            <w:hyperlink r:id="rId122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 xml:space="preserve">организации дополнительного профессионального образования; </w:t>
            </w:r>
            <w:hyperlink r:id="rId123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учебные центры профессиональной квалификации. </w:t>
            </w:r>
            <w:hyperlink r:id="rId124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&lt;****&gt;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единица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7.8. Финансово-экономическая деятельность организаций, осуществляющих образовательную деятельность в части обеспечения реализации основных программ профессионального обучения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7.8.1. Структура финансовых средств, поступивших в организации, осуществляющие образовательную деятельность по реализации образовательных программ профессионального обучения: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бюджетные ассигнования</w:t>
            </w:r>
            <w:proofErr w:type="gramStart"/>
            <w:r>
              <w:t xml:space="preserve">; </w:t>
            </w:r>
            <w:hyperlink r:id="rId12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26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(&lt;****&gt;)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финансовые средства от приносящей доход деятельности</w:t>
            </w:r>
            <w:proofErr w:type="gramStart"/>
            <w:r>
              <w:t xml:space="preserve">. </w:t>
            </w:r>
            <w:hyperlink r:id="rId12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28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(&lt;****&gt;)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7.9. Сведения о представителях работодателей, участвующих в учебном процессе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7.9.1. Удельный вес представителей работодателей, участвующих в учебном процессе, в общей численности преподавателей и мастеров производственного обучения организаций, осуществляющих образовательную деятельность по реализации образовательных программ профессионального обучения</w:t>
            </w:r>
            <w:proofErr w:type="gramStart"/>
            <w:r>
              <w:t xml:space="preserve">. </w:t>
            </w:r>
            <w:hyperlink r:id="rId12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30" w:anchor="Par975" w:tooltip="&lt;****&gt; Сбор данных начинается с 2016 года." w:history="1">
              <w:r>
                <w:rPr>
                  <w:rStyle w:val="a7"/>
                  <w:color w:val="0000FF"/>
                  <w:u w:val="none"/>
                </w:rPr>
                <w:t>(&lt;****&gt;)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1"/>
            </w:pPr>
            <w:r>
              <w:t>V. Дополнительная информация о системе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8. Сведения об интеграции образования и науки, а также образования и сферы труда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8.1. Интеграция образования и науки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8.1.1. Удельный вес сектора организаций высшего образования во внутренних затратах на исследования и разработки.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8.2. Участие организаций различных отраслей экономики в обеспечении и осуществлении образовательной деятельности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8.2.1. Оценка представителями организаций реального сектора экономики распространенности их сотрудничества с образовательными организациями, реализующими профессиональные образовательные программы (оценка удельного веса организаций реального сектора экономики, сотрудничавших с организациями, реализующими профессиональные образовательные программы, в общем числе организаций реального сектора экономики):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исключительно профессиональной подготовки квалифицированных рабочих, служащих; </w:t>
            </w:r>
            <w:hyperlink r:id="rId13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профессиональной подготовки специалистов среднего звена; </w:t>
            </w:r>
            <w:hyperlink r:id="rId132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proofErr w:type="spellStart"/>
            <w:r>
              <w:t>бакалавриата</w:t>
            </w:r>
            <w:proofErr w:type="spellEnd"/>
            <w:r>
              <w:t xml:space="preserve">, подготовки специалистов, магистратуры. </w:t>
            </w:r>
            <w:hyperlink r:id="rId133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9.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9.1.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граждане СНГ.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9.2. Удельный вес численности иностранных студентов в общей численности студентов, обучающихся по образовательным программам высшего образования - программам </w:t>
            </w:r>
            <w:proofErr w:type="spellStart"/>
            <w:r>
              <w:t>бакалавриата</w:t>
            </w:r>
            <w:proofErr w:type="spellEnd"/>
            <w:r>
              <w:t xml:space="preserve">, программам </w:t>
            </w:r>
            <w:proofErr w:type="spellStart"/>
            <w:r>
              <w:t>специалитета</w:t>
            </w:r>
            <w:proofErr w:type="spellEnd"/>
            <w:r>
              <w:t>, программам магистратуры: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lastRenderedPageBreak/>
              <w:t>всего;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граждане СНГ.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center"/>
              <w:outlineLvl w:val="2"/>
            </w:pPr>
            <w:r>
              <w:t>10. Развитие системы оценки качества образования и информационной прозрачности системы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10.1. Оценка деятельности системы образования гражданами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10.1.1. Индекс удовлетворенности населения качеством образования, которое предоставляют образовательные организации. </w:t>
            </w:r>
            <w:hyperlink r:id="rId134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90%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10.1.2. Индекс удовлетворенности работодателей качеством подготовки в образовательных организациях профессионального образования. </w:t>
            </w:r>
            <w:hyperlink r:id="rId13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10.2. Результаты участия обучающихся лиц в российских и международных тестированиях знаний, конкурсах и олимпиадах, а также в иных аналогичных мероприятиях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10.2.1. Удельный вес численности лиц, достигших базового уровня образовательных достижений в международных сопоставительных исследованиях качества образования (изучение качества чтения и понимания текста (PIRLS), исследование качества математического и естественнонаучного общего образования (TIMSS), оценка образовательных достижений учащихся (PISA)), в общей численности российских учащихся общеобразовательных организаций: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международное исследование PIRLS. </w:t>
            </w:r>
            <w:hyperlink r:id="rId13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международное исследование TIMSS: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математика (4 класс); </w:t>
            </w:r>
            <w:hyperlink r:id="rId137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математика (8 класс); </w:t>
            </w:r>
            <w:hyperlink r:id="rId13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естествознание (4 класс); </w:t>
            </w:r>
            <w:hyperlink r:id="rId13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естествознание (8 класс). </w:t>
            </w:r>
            <w:hyperlink r:id="rId140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международное исследование PISA: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читательская грамотность; </w:t>
            </w:r>
            <w:hyperlink r:id="rId141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математическая грамотность; </w:t>
            </w:r>
            <w:hyperlink r:id="rId142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567"/>
              <w:jc w:val="both"/>
            </w:pPr>
            <w:r>
              <w:t xml:space="preserve">естественнонаучная грамотность. </w:t>
            </w:r>
            <w:hyperlink r:id="rId143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0%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10.3. Развитие механизмов государственно-частного управления в системе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10.3.1. Удельный вес численности студентов образовательных организаций высшего образования, использующих образовательный кредит для оплаты обучения, в общей </w:t>
            </w:r>
            <w:proofErr w:type="gramStart"/>
            <w:r>
              <w:t>численности</w:t>
            </w:r>
            <w:proofErr w:type="gramEnd"/>
            <w:r>
              <w:t xml:space="preserve"> обучающихся на платной основе. </w:t>
            </w:r>
            <w:hyperlink r:id="rId144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&lt;**&gt;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10.3.2. Удельный вес числа общеобразовательных организаций, в которых созданы коллегиальные органы управления, в общем числе общеобразовательных организаций.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10.4. Развитие региональных систем оценки качества образования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10.4.1. Удельный вес образовательных организаций, охваченных инструментами независимой системы оценки качества образования, в общем числе образовательных организаций. </w:t>
            </w:r>
            <w:hyperlink r:id="rId145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  <w:outlineLvl w:val="2"/>
            </w:pPr>
            <w:r>
              <w:t xml:space="preserve">11. Сведения о создании условий социализации и самореализации молодежи (в том </w:t>
            </w:r>
            <w:r>
              <w:lastRenderedPageBreak/>
              <w:t>числе лиц, обучающихся по уровням и видам образования)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lastRenderedPageBreak/>
              <w:t>11.1. Социально-демографические характеристики и социальная интеграция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11.1.1. Удельный вес населения в возрасте 5 - 18 лет, охваченного образованием, в общей численности населения в возрасте 5 - 18 лет.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E646F4">
            <w:pPr>
              <w:pStyle w:val="ConsPlusNormal"/>
              <w:spacing w:line="256" w:lineRule="auto"/>
            </w:pPr>
            <w:r>
              <w:t>98%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 в общей численности выпускников):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образовательные программы высшего образования - программы </w:t>
            </w:r>
            <w:proofErr w:type="spellStart"/>
            <w:r>
              <w:t>бакалавриата</w:t>
            </w:r>
            <w:proofErr w:type="spellEnd"/>
            <w: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 xml:space="preserve">программы высшего образования - программы подготовки </w:t>
            </w:r>
            <w:proofErr w:type="spellStart"/>
            <w:r>
              <w:t>специалитета</w:t>
            </w:r>
            <w:proofErr w:type="spellEnd"/>
            <w:r>
              <w:t>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образовательные программы высшего образования - программы магистратуры;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ind w:left="283"/>
              <w:jc w:val="both"/>
            </w:pPr>
            <w:r>
              <w:t>образовательные программы высшего образования - программы подготовки кадров высшей квалификации.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11.2. Ценностные ориентации молодежи и ее участие в общественных достижениях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11.2.1. Удельный вес численности молодых людей в возрасте от 14 до 30 лет, участвующих в деятельности молодежных общественных объединений, в общей численности молодежи в возрасте от 14 до 30 лет</w:t>
            </w:r>
            <w:proofErr w:type="gramStart"/>
            <w:r>
              <w:t xml:space="preserve">. </w:t>
            </w:r>
            <w:hyperlink r:id="rId146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47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(&lt;**&gt;)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11.3. Образование и занятость молодежи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11.3.1. Оценка удельного веса лиц, совмещающих учебу и работу, в общей численности студентов старших курсов образовательных организаций высшего образования. </w:t>
            </w:r>
            <w:hyperlink r:id="rId148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>11.4.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C2B" w:rsidRDefault="00053C2B">
            <w:pPr>
              <w:pStyle w:val="ConsPlusNormal"/>
              <w:spacing w:line="256" w:lineRule="auto"/>
            </w:pPr>
          </w:p>
        </w:tc>
      </w:tr>
      <w:tr w:rsidR="00053C2B" w:rsidTr="00053C2B"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  <w:jc w:val="both"/>
            </w:pPr>
            <w:r>
              <w:t xml:space="preserve">11.4.1. </w:t>
            </w:r>
            <w:proofErr w:type="gramStart"/>
            <w:r>
              <w:t xml:space="preserve">Удельный вес численности молодых людей в возрасте от 14 до 30 лет, вовлеченных в реализуемые федеральными органами исполнительной власти и органами исполнительной власти субъектов Российской Федерации проекты и программы в сфере поддержки талантливой молодежи, в общей численности молодежи в возрасте от 14 до 30 лет. </w:t>
            </w:r>
            <w:hyperlink r:id="rId149" w:anchor="Par972" w:tooltip="&lt;*&gt; Сбор данных осуществляется в целом по Российской Федерации без детализации по субъектам Российской Федерации." w:history="1">
              <w:r>
                <w:rPr>
                  <w:rStyle w:val="a7"/>
                  <w:color w:val="0000FF"/>
                  <w:u w:val="none"/>
                </w:rPr>
                <w:t>&lt;*&gt;</w:t>
              </w:r>
            </w:hyperlink>
            <w:r>
              <w:t xml:space="preserve"> </w:t>
            </w:r>
            <w:hyperlink r:id="rId150" w:anchor="Par973" w:tooltip="&lt;**&gt; Сбор данных начинается с 2015 года." w:history="1">
              <w:r>
                <w:rPr>
                  <w:rStyle w:val="a7"/>
                  <w:color w:val="0000FF"/>
                  <w:u w:val="none"/>
                </w:rPr>
                <w:t>(&lt;**&gt;)</w:t>
              </w:r>
            </w:hyperlink>
            <w:proofErr w:type="gramEnd"/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C2B" w:rsidRDefault="00053C2B">
            <w:pPr>
              <w:pStyle w:val="ConsPlusNormal"/>
              <w:spacing w:line="256" w:lineRule="auto"/>
            </w:pPr>
            <w:r>
              <w:t>процент</w:t>
            </w:r>
          </w:p>
        </w:tc>
      </w:tr>
    </w:tbl>
    <w:p w:rsidR="00053C2B" w:rsidRDefault="00053C2B" w:rsidP="00053C2B">
      <w:pPr>
        <w:pStyle w:val="ConsPlusNormal"/>
        <w:jc w:val="center"/>
      </w:pPr>
    </w:p>
    <w:p w:rsidR="00053C2B" w:rsidRDefault="00053C2B" w:rsidP="00053C2B">
      <w:pPr>
        <w:pStyle w:val="ConsPlusNormal"/>
        <w:ind w:firstLine="540"/>
        <w:jc w:val="both"/>
      </w:pPr>
      <w:r>
        <w:t>--------------------------------</w:t>
      </w:r>
    </w:p>
    <w:p w:rsidR="00053C2B" w:rsidRDefault="00053C2B" w:rsidP="00053C2B">
      <w:pPr>
        <w:pStyle w:val="ConsPlusNormal"/>
        <w:ind w:firstLine="540"/>
        <w:jc w:val="both"/>
      </w:pPr>
      <w:bookmarkStart w:id="2" w:name="Par972"/>
      <w:bookmarkEnd w:id="2"/>
      <w:r>
        <w:t>&lt;*&gt; Сбор данных осуществляется в целом по Российской Федерации без детализации по субъектам Российской Федерации.</w:t>
      </w:r>
    </w:p>
    <w:p w:rsidR="00053C2B" w:rsidRDefault="00053C2B" w:rsidP="00053C2B">
      <w:pPr>
        <w:pStyle w:val="ConsPlusNormal"/>
        <w:ind w:firstLine="540"/>
        <w:jc w:val="both"/>
      </w:pPr>
      <w:bookmarkStart w:id="3" w:name="Par973"/>
      <w:bookmarkEnd w:id="3"/>
      <w:r>
        <w:t>&lt;**&gt; Сбор данных начинается с 2015 года.</w:t>
      </w:r>
    </w:p>
    <w:p w:rsidR="00053C2B" w:rsidRDefault="00053C2B" w:rsidP="00053C2B">
      <w:pPr>
        <w:pStyle w:val="ConsPlusNormal"/>
        <w:ind w:firstLine="540"/>
        <w:jc w:val="both"/>
      </w:pPr>
      <w:bookmarkStart w:id="4" w:name="Par974"/>
      <w:bookmarkEnd w:id="4"/>
      <w:r>
        <w:t xml:space="preserve">&lt;***&gt; По разделу также осуществляется сбор данных в соответствии с </w:t>
      </w:r>
      <w:hyperlink r:id="rId151" w:tooltip="Приказ Минобрнауки России от 10.12.2013 N 1324 &quot;Об утверждении показателей деятельности образовательной организации, подлежащей самообследованию&quot; (Зарегистрировано в Минюсте России 28.01.2014 N 31135){КонсультантПлюс}" w:history="1">
        <w:r>
          <w:rPr>
            <w:rStyle w:val="a7"/>
            <w:color w:val="0000FF"/>
            <w:u w:val="none"/>
          </w:rPr>
          <w:t>показателями</w:t>
        </w:r>
      </w:hyperlink>
      <w:r>
        <w:t xml:space="preserve"> деятельности образовательной организации высшего образования, подлежащей самообследованию, утвержденными приказом Министерства образования и науки Российской Федерации от 10 декабря 2013 г. N 1324 (зарегистрирован Министерством юстиции Российской Федерации 28 января 2014 г., регистрационный N 31135).</w:t>
      </w:r>
    </w:p>
    <w:p w:rsidR="00053C2B" w:rsidRDefault="00053C2B" w:rsidP="00053C2B">
      <w:pPr>
        <w:pStyle w:val="ConsPlusNormal"/>
        <w:ind w:firstLine="540"/>
        <w:jc w:val="both"/>
      </w:pPr>
      <w:bookmarkStart w:id="5" w:name="Par975"/>
      <w:bookmarkEnd w:id="5"/>
      <w:r>
        <w:t>&lt;****&gt; Сбор данных начинается с 2016 года.</w:t>
      </w:r>
    </w:p>
    <w:p w:rsidR="00053C2B" w:rsidRDefault="00053C2B" w:rsidP="00053C2B">
      <w:pPr>
        <w:pStyle w:val="ConsPlusNormal"/>
        <w:ind w:firstLine="540"/>
        <w:jc w:val="both"/>
      </w:pPr>
    </w:p>
    <w:p w:rsidR="00053C2B" w:rsidRDefault="00053C2B" w:rsidP="00053C2B">
      <w:pPr>
        <w:pStyle w:val="ConsPlusNormal"/>
        <w:ind w:firstLine="540"/>
        <w:jc w:val="both"/>
      </w:pPr>
    </w:p>
    <w:p w:rsidR="00053C2B" w:rsidRDefault="00053C2B" w:rsidP="00053C2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20365A" w:rsidRPr="00235596" w:rsidRDefault="00235596">
      <w:pPr>
        <w:rPr>
          <w:sz w:val="18"/>
          <w:szCs w:val="18"/>
        </w:rPr>
      </w:pPr>
      <w:proofErr w:type="spellStart"/>
      <w:proofErr w:type="gramStart"/>
      <w:r w:rsidRPr="00235596">
        <w:rPr>
          <w:sz w:val="18"/>
          <w:szCs w:val="18"/>
        </w:rPr>
        <w:t>Исп</w:t>
      </w:r>
      <w:proofErr w:type="spellEnd"/>
      <w:proofErr w:type="gramEnd"/>
      <w:r w:rsidRPr="00235596">
        <w:rPr>
          <w:sz w:val="18"/>
          <w:szCs w:val="18"/>
        </w:rPr>
        <w:t xml:space="preserve"> : Е.Ф. </w:t>
      </w:r>
      <w:proofErr w:type="spellStart"/>
      <w:r w:rsidRPr="00235596">
        <w:rPr>
          <w:sz w:val="18"/>
          <w:szCs w:val="18"/>
        </w:rPr>
        <w:t>Синицина</w:t>
      </w:r>
      <w:proofErr w:type="spellEnd"/>
      <w:r w:rsidRPr="00235596">
        <w:rPr>
          <w:sz w:val="18"/>
          <w:szCs w:val="18"/>
        </w:rPr>
        <w:t xml:space="preserve"> 55-63-94</w:t>
      </w:r>
    </w:p>
    <w:sectPr w:rsidR="0020365A" w:rsidRPr="00235596" w:rsidSect="00BA18B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2B"/>
    <w:rsid w:val="000118C7"/>
    <w:rsid w:val="00053C2B"/>
    <w:rsid w:val="00076455"/>
    <w:rsid w:val="000C6826"/>
    <w:rsid w:val="000E2F26"/>
    <w:rsid w:val="000F08C8"/>
    <w:rsid w:val="001352F3"/>
    <w:rsid w:val="00194B26"/>
    <w:rsid w:val="0020365A"/>
    <w:rsid w:val="00235596"/>
    <w:rsid w:val="00320F2C"/>
    <w:rsid w:val="003539EF"/>
    <w:rsid w:val="004D6C23"/>
    <w:rsid w:val="006C7D33"/>
    <w:rsid w:val="00870560"/>
    <w:rsid w:val="008B3272"/>
    <w:rsid w:val="00A740C3"/>
    <w:rsid w:val="00A8777A"/>
    <w:rsid w:val="00AB77B8"/>
    <w:rsid w:val="00B01C64"/>
    <w:rsid w:val="00B67837"/>
    <w:rsid w:val="00B97BD7"/>
    <w:rsid w:val="00BA18BB"/>
    <w:rsid w:val="00BC0FEE"/>
    <w:rsid w:val="00BE4ACD"/>
    <w:rsid w:val="00CF0242"/>
    <w:rsid w:val="00D25168"/>
    <w:rsid w:val="00DF7033"/>
    <w:rsid w:val="00E07257"/>
    <w:rsid w:val="00E646F4"/>
    <w:rsid w:val="00EE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2B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053C2B"/>
    <w:rPr>
      <w:rFonts w:eastAsiaTheme="minorEastAsia" w:cs="Times New Roman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053C2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053C2B"/>
    <w:rPr>
      <w:rFonts w:eastAsiaTheme="minorEastAsia" w:cs="Times New Roman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053C2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053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53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053C2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B678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B67837"/>
  </w:style>
  <w:style w:type="paragraph" w:styleId="a9">
    <w:name w:val="Balloon Text"/>
    <w:basedOn w:val="a"/>
    <w:link w:val="aa"/>
    <w:uiPriority w:val="99"/>
    <w:semiHidden/>
    <w:unhideWhenUsed/>
    <w:rsid w:val="008B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327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2B"/>
    <w:pPr>
      <w:spacing w:after="160"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053C2B"/>
    <w:rPr>
      <w:rFonts w:eastAsiaTheme="minorEastAsia" w:cs="Times New Roman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053C2B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053C2B"/>
    <w:rPr>
      <w:rFonts w:eastAsiaTheme="minorEastAsia" w:cs="Times New Roman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053C2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053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53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053C2B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B678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B67837"/>
  </w:style>
  <w:style w:type="paragraph" w:styleId="a9">
    <w:name w:val="Balloon Text"/>
    <w:basedOn w:val="a"/>
    <w:link w:val="aa"/>
    <w:uiPriority w:val="99"/>
    <w:semiHidden/>
    <w:unhideWhenUsed/>
    <w:rsid w:val="008B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327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" Type="http://schemas.openxmlformats.org/officeDocument/2006/relationships/image" Target="media/image6.jpeg"/><Relationship Id="rId3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4" Type="http://schemas.openxmlformats.org/officeDocument/2006/relationships/hyperlink" Target="consultantplus://offline/ref=530AB12F197CF254492C30B30118F028D20639911CB92A7FFCA3C7106E5A8D6452B7AF15D9BF016AO1wCH" TargetMode="External"/><Relationship Id="rId7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5" Type="http://schemas.openxmlformats.org/officeDocument/2006/relationships/hyperlink" Target="consultantplus://offline/ref=530AB12F197CF254492C30B30118F028D20639911CB92A7FFCA3C7106E5A8D6452B7AF15D9BF0168O1w2H" TargetMode="External"/><Relationship Id="rId2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5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" Type="http://schemas.openxmlformats.org/officeDocument/2006/relationships/hyperlink" Target="consultantplus://offline/ref=530AB12F197CF254492C30B30118F028D2093C9819BF2A7FFCA3C7106E5A8D6452B7AF15D9BE0369O1w5H" TargetMode="External"/><Relationship Id="rId1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6" Type="http://schemas.openxmlformats.org/officeDocument/2006/relationships/hyperlink" Target="consultantplus://offline/ref=530AB12F197CF254492C30B30118F028D20639911CB92A7FFCA3C7106E5A8D6452B7AF15D9BF006CO1w1H" TargetMode="External"/><Relationship Id="rId5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7" Type="http://schemas.openxmlformats.org/officeDocument/2006/relationships/hyperlink" Target="consultantplus://offline/ref=530AB12F197CF254492C30B30118F028D20639911CB92A7FFCA3C7106E5A8D6452B7AF15D9BF0062O1wDH" TargetMode="External"/><Relationship Id="rId10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8" Type="http://schemas.openxmlformats.org/officeDocument/2006/relationships/hyperlink" Target="consultantplus://offline/ref=530AB12F197CF254492C30B30118F028D20639911CB92A7FFCA3C7106E5A8D6452B7AF15D9BF006AO1w5H" TargetMode="External"/><Relationship Id="rId3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7" Type="http://schemas.openxmlformats.org/officeDocument/2006/relationships/hyperlink" Target="consultantplus://offline/ref=530AB12F197CF254492C30B30118F028D20639911CB92A7FFCA3C7106E5A8D6452B7AF15D9BF006CO1wCH" TargetMode="External"/><Relationship Id="rId10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" Type="http://schemas.openxmlformats.org/officeDocument/2006/relationships/image" Target="media/image5.jpeg"/><Relationship Id="rId3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4" Type="http://schemas.openxmlformats.org/officeDocument/2006/relationships/hyperlink" Target="consultantplus://offline/ref=530AB12F197CF254492C30B30118F028D20639911CB92A7FFCA3C7106E5A8D6452B7AF15D9BF006FO1w0H" TargetMode="External"/><Relationship Id="rId5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51" Type="http://schemas.openxmlformats.org/officeDocument/2006/relationships/hyperlink" Target="consultantplus://offline/ref=530AB12F197CF254492C30B30118F028D20436941EBC2A7FFCA3C7106E5A8D6452B7AF15D9BF0469O1w5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" Type="http://schemas.openxmlformats.org/officeDocument/2006/relationships/image" Target="media/image2.jpeg"/><Relationship Id="rId7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2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4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1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3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6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52" Type="http://schemas.openxmlformats.org/officeDocument/2006/relationships/fontTable" Target="fontTable.xml"/><Relationship Id="rId19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5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0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05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6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7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8" Type="http://schemas.openxmlformats.org/officeDocument/2006/relationships/image" Target="media/image3.jpeg"/><Relationship Id="rId5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7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93" Type="http://schemas.openxmlformats.org/officeDocument/2006/relationships/hyperlink" Target="consultantplus://offline/ref=530AB12F197CF254492C30B30118F028D20639911CB92A7FFCA3C7106E5A8D6452B7AF15D9BF0168O1w6H" TargetMode="External"/><Relationship Id="rId98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21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142" Type="http://schemas.openxmlformats.org/officeDocument/2006/relationships/hyperlink" Target="file:///C:\Users\User\AppData\Local\Temp\delo\&#1055;&#1088;&#1080;&#1082;&#1072;&#1079;%20&#1052;&#1080;&#1085;&#1086;&#1073;&#1088;&#1085;&#1072;&#1091;&#1082;&#1080;%20&#1056;&#1086;&#1089;&#1089;&#1080;&#1080;%20&#1086;&#1090;%2015_01_2014%20N%2014%20(&#1088;&#1077;&#1076;_%20&#1086;&#1090;%2002_03_2015)-4.RTF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A8EF2-8E1C-4A0B-9ADC-ACC60DDDD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15022</Words>
  <Characters>85631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2015-10-21T13:05:00Z</cp:lastPrinted>
  <dcterms:created xsi:type="dcterms:W3CDTF">2017-11-03T09:46:00Z</dcterms:created>
  <dcterms:modified xsi:type="dcterms:W3CDTF">2017-11-03T09:48:00Z</dcterms:modified>
</cp:coreProperties>
</file>